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民生家园建设资金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豆各庄乡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豆各庄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张毅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65479032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保障环境整治、信访维稳、综合治理、重大活动服务保障、消防安全、防汛、重大舆情处置等相关事项所需资金。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全部完成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环境整治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科教文卫宣传活动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  <w:highlight w:val="yellow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  <w:highlight w:val="yellow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highlight w:val="yellow"/>
                <w:lang w:val="en-US" w:eastAsia="zh-CN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  <w:highlight w:val="yellow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highlight w:val="yellow"/>
                <w:lang w:eastAsia="zh-CN"/>
              </w:rPr>
              <w:t>保障抗疫经费支出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yellow"/>
                <w:lang w:val="en-US" w:eastAsia="zh-CN"/>
              </w:rPr>
              <w:t>107万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yellow"/>
                <w:lang w:val="en-US" w:eastAsia="zh-CN"/>
              </w:rPr>
              <w:t>107万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yellow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yellow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yellow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符合环境整洁规范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满足群众需求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满足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满足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处置处理得当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得当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得当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年底前完成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任务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  <w:highlight w:val="yellow"/>
              </w:rPr>
            </w:pPr>
            <w:r>
              <w:rPr>
                <w:color w:val="000000"/>
                <w:kern w:val="0"/>
                <w:sz w:val="18"/>
                <w:szCs w:val="18"/>
                <w:highlight w:val="yellow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  <w:highlight w:val="yellow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  <w:highlight w:val="yellow"/>
              </w:rPr>
              <w:t>成本核算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yellow"/>
                <w:lang w:eastAsia="zh-CN"/>
              </w:rPr>
              <w:t>总成本为社会平均成本95%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yellow"/>
                <w:lang w:eastAsia="zh-CN"/>
              </w:rPr>
              <w:t>未超</w:t>
            </w:r>
            <w:r>
              <w:rPr>
                <w:rFonts w:hint="eastAsia"/>
                <w:b w:val="0"/>
                <w:kern w:val="0"/>
                <w:sz w:val="18"/>
                <w:szCs w:val="18"/>
                <w:highlight w:val="yellow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yellow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yellow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yellow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bookmarkStart w:id="0" w:name="_GoBack" w:colFirst="3" w:colLast="8"/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  <w:highlight w:val="yellow"/>
              </w:rPr>
            </w:pPr>
            <w:r>
              <w:rPr>
                <w:color w:val="000000"/>
                <w:kern w:val="0"/>
                <w:sz w:val="18"/>
                <w:szCs w:val="18"/>
                <w:highlight w:val="yellow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  <w:highlight w:val="yellow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highlight w:val="yellow"/>
              </w:rPr>
              <w:t>经济效益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5"/>
                <w:szCs w:val="15"/>
                <w:highlight w:val="yellow"/>
                <w:lang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highlight w:val="yellow"/>
                <w:lang w:eastAsia="zh-CN"/>
              </w:rPr>
              <w:t>提高地区经济综合实力。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highlight w:val="yellow"/>
                <w:lang w:eastAsia="zh-CN"/>
              </w:rPr>
              <w:t>确有提升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yellow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yellow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yellow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增强群众安全感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确有增强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确有增强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提升环境水平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确有提升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确有提升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辖区群众满意率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达到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达到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95%以上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辖区群众满意率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达到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达到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95%以上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eastAsia" w:asciiTheme="minorEastAsia" w:hAnsiTheme="minorEastAsia" w:eastAsiaTheme="minorEastAsia" w:cstheme="minorEastAsia"/>
          <w:b w:val="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 xml:space="preserve">填表人：    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  <w:t>郝朝雅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 xml:space="preserve">    联系电话：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65479031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 xml:space="preserve">  填写日期：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  <w:t>2022.1.7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3B22226"/>
    <w:rsid w:val="0D4E44D4"/>
    <w:rsid w:val="0EB47E2F"/>
    <w:rsid w:val="0F530C32"/>
    <w:rsid w:val="0FD71D45"/>
    <w:rsid w:val="107D25CF"/>
    <w:rsid w:val="10E72CEF"/>
    <w:rsid w:val="193F288E"/>
    <w:rsid w:val="1F3521E3"/>
    <w:rsid w:val="20870EF2"/>
    <w:rsid w:val="21866767"/>
    <w:rsid w:val="27476F64"/>
    <w:rsid w:val="28A82627"/>
    <w:rsid w:val="32DE5719"/>
    <w:rsid w:val="34CA172A"/>
    <w:rsid w:val="357B59EF"/>
    <w:rsid w:val="382B6775"/>
    <w:rsid w:val="3EF53F02"/>
    <w:rsid w:val="3F1F6AC5"/>
    <w:rsid w:val="444006E1"/>
    <w:rsid w:val="45EA6449"/>
    <w:rsid w:val="460359DE"/>
    <w:rsid w:val="474140D5"/>
    <w:rsid w:val="4885220B"/>
    <w:rsid w:val="4A490D40"/>
    <w:rsid w:val="4B4E1C15"/>
    <w:rsid w:val="4CBA109B"/>
    <w:rsid w:val="4D0F0E47"/>
    <w:rsid w:val="52C051C6"/>
    <w:rsid w:val="536369BE"/>
    <w:rsid w:val="53AD3458"/>
    <w:rsid w:val="557B6719"/>
    <w:rsid w:val="5D617737"/>
    <w:rsid w:val="603764FC"/>
    <w:rsid w:val="620923A1"/>
    <w:rsid w:val="696B68DD"/>
    <w:rsid w:val="6A261F45"/>
    <w:rsid w:val="6D125E72"/>
    <w:rsid w:val="6FB32B39"/>
    <w:rsid w:val="74277F58"/>
    <w:rsid w:val="76EF5736"/>
    <w:rsid w:val="7C934B71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ScaleCrop>false</ScaleCrop>
  <LinksUpToDate>false</LinksUpToDate>
  <CharactersWithSpaces>1699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北京市朝阳区豆各庄乡（地区）社会公共事务中心</cp:lastModifiedBy>
  <cp:lastPrinted>2021-01-28T08:45:00Z</cp:lastPrinted>
  <dcterms:modified xsi:type="dcterms:W3CDTF">2022-02-22T02:41:20Z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